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D5C66"/>
          <w:sz w:val="16"/>
          <w:szCs w:val="16"/>
        </w:rPr>
        <w:t xml:space="preserve">PLANTILLA EDITABLE</w:t>
      </w:r>
    </w:p>
    <w:p>
      <w:pPr>
        <w:spacing w:after="120"/>
      </w:pPr>
      <w:r>
        <w:rPr>
          <w:b/>
          <w:bCs/>
          <w:sz w:val="40"/>
          <w:szCs w:val="40"/>
        </w:rPr>
        <w:t xml:space="preserve">Política de precio sugerido de venta al público</w:t>
      </w:r>
    </w:p>
    <w:p>
      <w:pPr>
        <w:pBdr>
          <w:bottom w:val="single" w:color="D9D6CC" w:sz="6" w:space="8"/>
        </w:pBdr>
        <w:spacing w:after="280"/>
      </w:pPr>
      <w:r>
        <w:rPr>
          <w:color w:val="5D5C66"/>
        </w:rPr>
        <w:t xml:space="preserve">[Nombre de la marca] · Versión [1] · Vigente desde [dd/mm/aaaa]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single" w:color="FFC33C" w:sz="24"/>
              <w:bottom w:val="none"/>
              <w:right w:val="none"/>
            </w:tcBorders>
            <w:shd w:fill="FFF3D1" w:color="auto" w:val="clear"/>
            <w:tcMar>
              <w:top w:type="dxa" w:w="160"/>
              <w:left w:type="dxa" w:w="220"/>
              <w:bottom w:type="dxa" w:w="160"/>
              <w:right w:type="dxa" w:w="220"/>
            </w:tcMar>
          </w:tcPr>
          <w:p>
            <w:pPr>
              <w:spacing w:after="100"/>
            </w:pPr>
            <w:r>
              <w:rPr>
                <w:b/>
                <w:bCs/>
              </w:rPr>
              <w:t xml:space="preserve">Cómo usar esta plantilla</w:t>
            </w:r>
          </w:p>
          <w:p>
            <w:pPr>
              <w:pStyle w:val="ListParagraph"/>
              <w:numPr>
                <w:ilvl w:val="0"/>
                <w:numId w:val="2"/>
              </w:numPr>
              <w:spacing w:after="80"/>
            </w:pPr>
            <w:r>
              <w:t xml:space="preserve">Reemplazá todo lo que está </w:t>
            </w:r>
            <w:r>
              <w:rPr>
                <w:b/>
                <w:bCs/>
              </w:rPr>
              <w:t xml:space="preserve">[entre corchetes y resaltado]</w:t>
            </w:r>
            <w:r>
              <w:t xml:space="preserve"> y borrá este recuadro antes de enviarla.</w:t>
            </w:r>
          </w:p>
          <w:p>
            <w:pPr>
              <w:pStyle w:val="ListParagraph"/>
              <w:numPr>
                <w:ilvl w:val="0"/>
                <w:numId w:val="2"/>
              </w:numPr>
              <w:spacing w:after="80"/>
            </w:pPr>
            <w:r>
              <w:t xml:space="preserve">Está escrita como </w:t>
            </w:r>
            <w:r>
              <w:rPr>
                <w:b/>
                <w:bCs/>
              </w:rPr>
              <w:t xml:space="preserve">recomendación</w:t>
            </w:r>
            <w:r>
              <w:t xml:space="preserve">, no como obligación. En Argentina sugerir un precio de reventa es legal; imponerlo se analiza por sus efectos (Ley 27.442, art. 3) y acordarlo con competidores está prohibido (art. 2).</w:t>
            </w:r>
          </w:p>
          <w:p>
            <w:pPr>
              <w:pStyle w:val="ListParagraph"/>
              <w:numPr>
                <w:ilvl w:val="0"/>
                <w:numId w:val="2"/>
              </w:numPr>
              <w:spacing w:after="80"/>
            </w:pPr>
            <w:r>
              <w:t xml:space="preserve">No agregues sanciones, cortes de suministro ni penalidades atadas al precio. El Anexo B lista qué no incluir.</w:t>
            </w:r>
          </w:p>
          <w:p>
            <w:pPr>
              <w:pStyle w:val="ListParagraph"/>
              <w:numPr>
                <w:ilvl w:val="0"/>
                <w:numId w:val="2"/>
              </w:numPr>
              <w:spacing w:after="80"/>
            </w:pPr>
            <w:r>
              <w:t xml:space="preserve">Antes de comunicarla a tu canal, revisala con tu abogado. Esta plantilla es un punto de partida, no asesoramiento legal.</w:t>
            </w:r>
          </w:p>
        </w:tc>
      </w:tr>
    </w:tbl>
    <w:p>
      <w:pPr>
        <w:pStyle w:val="Heading1"/>
        <w:spacing w:before="320" w:after="120"/>
      </w:pPr>
      <w:r>
        <w:t xml:space="preserve">1. Objeto</w:t>
      </w:r>
    </w:p>
    <w:p>
      <w:pPr>
        <w:spacing w:after="120"/>
      </w:pPr>
      <w:r>
        <w:t xml:space="preserve">Esta política informa a los distribuidores y revendedores de </w:t>
      </w:r>
      <w:r>
        <w:rPr>
          <w:highlight w:val="yellow"/>
          <w:highlightCs w:val="yellow"/>
        </w:rPr>
        <w:t xml:space="preserve">[Nombre de la marca]</w:t>
      </w:r>
      <w:r>
        <w:t xml:space="preserve"> el precio de venta al público que la marca sugiere para sus productos, con el objetivo de dar una referencia clara y uniforme al consumidor en todos los canales.</w:t>
      </w:r>
    </w:p>
    <w:p>
      <w:pPr>
        <w:pStyle w:val="Heading1"/>
        <w:spacing w:before="320" w:after="120"/>
      </w:pPr>
      <w:r>
        <w:t xml:space="preserve">2. Alcance</w:t>
      </w:r>
    </w:p>
    <w:p>
      <w:pPr>
        <w:spacing w:after="120"/>
      </w:pPr>
      <w:r>
        <w:t xml:space="preserve">Aplica a los productos listados en el Anexo A, en todos los canales donde se ofrezcan al público:</w:t>
      </w:r>
    </w:p>
    <w:p>
      <w:pPr>
        <w:pStyle w:val="ListParagraph"/>
        <w:numPr>
          <w:ilvl w:val="0"/>
          <w:numId w:val="2"/>
        </w:numPr>
        <w:spacing w:after="80"/>
      </w:pPr>
      <w:r>
        <w:t xml:space="preserve">Tiendas físicas y tiendas online propias de los revendedores.</w:t>
      </w:r>
    </w:p>
    <w:p>
      <w:pPr>
        <w:pStyle w:val="ListParagraph"/>
        <w:numPr>
          <w:ilvl w:val="0"/>
          <w:numId w:val="2"/>
        </w:numPr>
        <w:spacing w:after="80"/>
      </w:pPr>
      <w:r>
        <w:t xml:space="preserve">Marketplaces, incluido Mercado Libre, y malls bancarios.</w:t>
      </w:r>
    </w:p>
    <w:p>
      <w:pPr>
        <w:pStyle w:val="ListParagraph"/>
        <w:numPr>
          <w:ilvl w:val="0"/>
          <w:numId w:val="2"/>
        </w:numPr>
        <w:spacing w:after="80"/>
      </w:pPr>
      <w:r>
        <w:t xml:space="preserve">Catálogos, redes sociales y cualquier otro medio donde se publique un precio.</w:t>
      </w:r>
    </w:p>
    <w:p>
      <w:pPr>
        <w:pStyle w:val="Heading1"/>
        <w:spacing w:before="320" w:after="120"/>
      </w:pPr>
      <w:r>
        <w:t xml:space="preserve">3. Precio sugerido</w:t>
      </w:r>
    </w:p>
    <w:p>
      <w:pPr>
        <w:spacing w:after="120"/>
      </w:pPr>
      <w:r>
        <w:t xml:space="preserve">El precio sugerido de venta al público (PVP) de cada producto es el que figura en el Anexo A. Es el </w:t>
      </w:r>
      <w:r>
        <w:rPr>
          <w:b/>
          <w:bCs/>
        </w:rPr>
        <w:t xml:space="preserve">precio final de contado</w:t>
      </w:r>
      <w:r>
        <w:t xml:space="preserve">, con impuestos incluidos, en pesos argentinos.</w:t>
      </w:r>
    </w:p>
    <w:p>
      <w:pPr>
        <w:spacing w:after="120"/>
      </w:pPr>
      <w:r>
        <w:t xml:space="preserve">Las condiciones de financiación (cuotas sin interés, promociones bancarias) las define cada revendedor. Al publicarlas, recordá que la Resolución 4/2025 de la Secretaría de Industria y Comercio pide informar el precio de contado, la cantidad y el monto de cada cuota y el costo financiero total efectivo anual (CFTEA).</w:t>
      </w:r>
    </w:p>
    <w:p>
      <w:pPr>
        <w:pStyle w:val="Heading1"/>
        <w:spacing w:before="320" w:after="120"/>
      </w:pPr>
      <w:r>
        <w:t xml:space="preserve">4. Actualizaciones</w:t>
      </w:r>
    </w:p>
    <w:p>
      <w:pPr>
        <w:spacing w:after="120"/>
      </w:pPr>
      <w:r>
        <w:rPr>
          <w:highlight w:val="yellow"/>
          <w:highlightCs w:val="yellow"/>
        </w:rPr>
        <w:t xml:space="preserve">[Nombre de la marca]</w:t>
      </w:r>
      <w:r>
        <w:t xml:space="preserve"> comunicará los cambios del precio sugerido por </w:t>
      </w:r>
      <w:r>
        <w:rPr>
          <w:highlight w:val="yellow"/>
          <w:highlightCs w:val="yellow"/>
        </w:rPr>
        <w:t xml:space="preserve">[correo electrónico / portal de distribuidores]</w:t>
      </w:r>
      <w:r>
        <w:t xml:space="preserve"> con al menos </w:t>
      </w:r>
      <w:r>
        <w:rPr>
          <w:highlight w:val="yellow"/>
          <w:highlightCs w:val="yellow"/>
        </w:rPr>
        <w:t xml:space="preserve">[7]</w:t>
      </w:r>
      <w:r>
        <w:t xml:space="preserve"> días de anticipación, indicando la fecha desde la que rige la nueva lista.</w:t>
      </w:r>
    </w:p>
    <w:p>
      <w:pPr>
        <w:pStyle w:val="Heading1"/>
        <w:spacing w:before="320" w:after="120"/>
      </w:pPr>
      <w:r>
        <w:t xml:space="preserve">5. Libertad de precio del revendedor</w:t>
      </w:r>
    </w:p>
    <w:p>
      <w:pPr>
        <w:spacing w:after="120"/>
      </w:pPr>
      <w:r>
        <w:rPr>
          <w:b/>
          <w:bCs/>
        </w:rPr>
        <w:t xml:space="preserve">Cada revendedor fija libremente su precio final de venta.</w:t>
      </w:r>
      <w:r>
        <w:t xml:space="preserve"> El precio sugerido es una recomendación: publicar o vender por encima o por debajo de él no genera sanciones ni afecta las condiciones comerciales con </w:t>
      </w:r>
      <w:r>
        <w:rPr>
          <w:highlight w:val="yellow"/>
          <w:highlightCs w:val="yellow"/>
        </w:rPr>
        <w:t xml:space="preserve">[Nombre de la marca]</w:t>
      </w:r>
      <w:r>
        <w:t xml:space="preserve">.</w:t>
      </w:r>
    </w:p>
    <w:p>
      <w:pPr>
        <w:pStyle w:val="Heading1"/>
        <w:spacing w:before="320" w:after="120"/>
      </w:pPr>
      <w:r>
        <w:t xml:space="preserve">6. Uso de la marca en publicaciones</w:t>
      </w:r>
    </w:p>
    <w:p>
      <w:pPr>
        <w:spacing w:after="120"/>
      </w:pPr>
      <w:r>
        <w:t xml:space="preserve">Para que el consumidor reconozca el producto original, </w:t>
      </w:r>
      <w:r>
        <w:rPr>
          <w:highlight w:val="yellow"/>
          <w:highlightCs w:val="yellow"/>
        </w:rPr>
        <w:t xml:space="preserve">[Nombre de la marca]</w:t>
      </w:r>
      <w:r>
        <w:t xml:space="preserve"> pide a sus revendedores que en sus publicaciones:</w:t>
      </w:r>
    </w:p>
    <w:p>
      <w:pPr>
        <w:pStyle w:val="ListParagraph"/>
        <w:numPr>
          <w:ilvl w:val="0"/>
          <w:numId w:val="2"/>
        </w:numPr>
        <w:spacing w:after="80"/>
      </w:pPr>
      <w:r>
        <w:t xml:space="preserve">Usen el nombre comercial y el código de modelo del producto tal como figuran en el Anexo A.</w:t>
      </w:r>
    </w:p>
    <w:p>
      <w:pPr>
        <w:pStyle w:val="ListParagraph"/>
        <w:numPr>
          <w:ilvl w:val="0"/>
          <w:numId w:val="2"/>
        </w:numPr>
        <w:spacing w:after="80"/>
      </w:pPr>
      <w:r>
        <w:t xml:space="preserve">Usen las imágenes y fichas técnicas oficiales que provee la marca en </w:t>
      </w:r>
      <w:r>
        <w:rPr>
          <w:highlight w:val="yellow"/>
          <w:highlightCs w:val="yellow"/>
        </w:rPr>
        <w:t xml:space="preserve">[link al material]</w:t>
      </w:r>
      <w:r>
        <w:t xml:space="preserve">.</w:t>
      </w:r>
    </w:p>
    <w:p>
      <w:pPr>
        <w:pStyle w:val="ListParagraph"/>
        <w:numPr>
          <w:ilvl w:val="0"/>
          <w:numId w:val="2"/>
        </w:numPr>
        <w:spacing w:after="80"/>
      </w:pPr>
      <w:r>
        <w:t xml:space="preserve">No presenten productos usados, reacondicionados o de otro origen como nuevos de la marca.</w:t>
      </w:r>
    </w:p>
    <w:p>
      <w:pPr>
        <w:pStyle w:val="Heading1"/>
        <w:spacing w:before="320" w:after="120"/>
      </w:pPr>
      <w:r>
        <w:t xml:space="preserve">7. Seguimiento</w:t>
      </w:r>
    </w:p>
    <w:p>
      <w:pPr>
        <w:spacing w:after="120"/>
      </w:pPr>
      <w:r>
        <w:rPr>
          <w:highlight w:val="yellow"/>
          <w:highlightCs w:val="yellow"/>
        </w:rPr>
        <w:t xml:space="preserve">[Nombre de la marca]</w:t>
      </w:r>
      <w:r>
        <w:t xml:space="preserve"> observa los precios que se publican al público en los distintos canales, que son información pública, para conocer cómo llegan sus productos al consumidor. Si encontramos diferencias importantes con el precio sugerido, podemos contactarte para entender el motivo (liquidación de stock, una promoción, un error de carga).</w:t>
      </w:r>
    </w:p>
    <w:p>
      <w:pPr>
        <w:pStyle w:val="Heading1"/>
        <w:spacing w:before="320" w:after="120"/>
      </w:pPr>
      <w:r>
        <w:t xml:space="preserve">8. Contacto</w:t>
      </w:r>
    </w:p>
    <w:p>
      <w:pPr>
        <w:spacing w:after="120"/>
      </w:pPr>
      <w:r>
        <w:t xml:space="preserve">Consultas sobre esta política: </w:t>
      </w:r>
      <w:r>
        <w:rPr>
          <w:highlight w:val="yellow"/>
          <w:highlightCs w:val="yellow"/>
        </w:rPr>
        <w:t xml:space="preserve">[nombre y cargo]</w:t>
      </w:r>
      <w:r>
        <w:t xml:space="preserve"> · </w:t>
      </w:r>
      <w:r>
        <w:rPr>
          <w:highlight w:val="yellow"/>
          <w:highlightCs w:val="yellow"/>
        </w:rPr>
        <w:t xml:space="preserve">[correo]</w:t>
      </w:r>
      <w:r>
        <w:t xml:space="preserve"> · </w:t>
      </w:r>
      <w:r>
        <w:rPr>
          <w:highlight w:val="yellow"/>
          <w:highlightCs w:val="yellow"/>
        </w:rPr>
        <w:t xml:space="preserve">[teléfono]</w:t>
      </w:r>
      <w:r>
        <w:t xml:space="preserve">.</w:t>
      </w:r>
    </w:p>
    <w:p>
      <w:pPr>
        <w:pStyle w:val="Heading1"/>
        <w:spacing w:before="320" w:after="120"/>
      </w:pPr>
      <w:r>
        <w:t xml:space="preserve">Anexo A. Lista de precios sugeridos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00"/>
        <w:gridCol w:w="3300"/>
        <w:gridCol w:w="1700"/>
        <w:gridCol w:w="1500"/>
        <w:gridCol w:w="1226"/>
      </w:tblGrid>
      <w:tr>
        <w:trPr>
          <w:tblHeader/>
        </w:trPr>
        <w:tc>
          <w:tcPr>
            <w:tcW w:type="dxa" w:w="1300"/>
            <w:shd w:fill="100F14" w:color="auto" w:val="clear"/>
            <w:tcMar>
              <w:top w:type="dxa" w:w="80"/>
              <w:left w:type="dxa" w:w="100"/>
              <w:bottom w:type="dxa" w:w="80"/>
              <w:right w:type="dxa" w:w="100"/>
            </w:tcMar>
          </w:tcPr>
          <w:p>
            <w:r>
              <w:rPr>
                <w:b/>
                <w:bCs/>
                <w:color w:val="FFFFFF"/>
              </w:rPr>
              <w:t xml:space="preserve">SKU</w:t>
            </w:r>
          </w:p>
        </w:tc>
        <w:tc>
          <w:tcPr>
            <w:tcW w:type="dxa" w:w="3300"/>
            <w:shd w:fill="100F14" w:color="auto" w:val="clear"/>
            <w:tcMar>
              <w:top w:type="dxa" w:w="80"/>
              <w:left w:type="dxa" w:w="100"/>
              <w:bottom w:type="dxa" w:w="80"/>
              <w:right w:type="dxa" w:w="100"/>
            </w:tcMar>
          </w:tcPr>
          <w:p>
            <w:r>
              <w:rPr>
                <w:b/>
                <w:bCs/>
                <w:color w:val="FFFFFF"/>
              </w:rPr>
              <w:t xml:space="preserve">Producto</w:t>
            </w:r>
          </w:p>
        </w:tc>
        <w:tc>
          <w:tcPr>
            <w:tcW w:type="dxa" w:w="1700"/>
            <w:shd w:fill="100F14" w:color="auto" w:val="clear"/>
            <w:tcMar>
              <w:top w:type="dxa" w:w="80"/>
              <w:left w:type="dxa" w:w="100"/>
              <w:bottom w:type="dxa" w:w="80"/>
              <w:right w:type="dxa" w:w="100"/>
            </w:tcMar>
          </w:tcPr>
          <w:p>
            <w:r>
              <w:rPr>
                <w:b/>
                <w:bCs/>
                <w:color w:val="FFFFFF"/>
              </w:rPr>
              <w:t xml:space="preserve">EAN</w:t>
            </w:r>
          </w:p>
        </w:tc>
        <w:tc>
          <w:tcPr>
            <w:tcW w:type="dxa" w:w="1500"/>
            <w:shd w:fill="100F14" w:color="auto" w:val="clear"/>
            <w:tcMar>
              <w:top w:type="dxa" w:w="80"/>
              <w:left w:type="dxa" w:w="100"/>
              <w:bottom w:type="dxa" w:w="80"/>
              <w:right w:type="dxa" w:w="100"/>
            </w:tcMar>
          </w:tcPr>
          <w:p>
            <w:r>
              <w:rPr>
                <w:b/>
                <w:bCs/>
                <w:color w:val="FFFFFF"/>
              </w:rPr>
              <w:t xml:space="preserve">PVP sugerido (contado)</w:t>
            </w:r>
          </w:p>
        </w:tc>
        <w:tc>
          <w:tcPr>
            <w:tcW w:type="dxa" w:w="1226"/>
            <w:shd w:fill="100F14" w:color="auto" w:val="clear"/>
            <w:tcMar>
              <w:top w:type="dxa" w:w="80"/>
              <w:left w:type="dxa" w:w="100"/>
              <w:bottom w:type="dxa" w:w="80"/>
              <w:right w:type="dxa" w:w="100"/>
            </w:tcMar>
          </w:tcPr>
          <w:p>
            <w:r>
              <w:rPr>
                <w:b/>
                <w:bCs/>
                <w:color w:val="FFFFFF"/>
              </w:rPr>
              <w:t xml:space="preserve">Vigente desde</w:t>
            </w:r>
          </w:p>
        </w:tc>
      </w:tr>
      <w:tr>
        <w:tc>
          <w:tcPr>
            <w:tcW w:type="dxa" w:w="1300"/>
            <w:tcMar>
              <w:top w:type="dxa" w:w="80"/>
              <w:left w:type="dxa" w:w="100"/>
              <w:bottom w:type="dxa" w:w="80"/>
              <w:right w:type="dxa" w:w="100"/>
            </w:tcMar>
          </w:tcPr>
          <w:p>
            <w:r>
              <w:rPr>
                <w:b w:val="false"/>
                <w:bCs w:val="false"/>
                <w:highlight w:val="yellow"/>
                <w:highlightCs w:val="yellow"/>
              </w:rPr>
              <w:t xml:space="preserve">[SKU]</w:t>
            </w:r>
          </w:p>
        </w:tc>
        <w:tc>
          <w:tcPr>
            <w:tcW w:type="dxa" w:w="3300"/>
            <w:tcMar>
              <w:top w:type="dxa" w:w="80"/>
              <w:left w:type="dxa" w:w="100"/>
              <w:bottom w:type="dxa" w:w="80"/>
              <w:right w:type="dxa" w:w="100"/>
            </w:tcMar>
          </w:tcPr>
          <w:p>
            <w:r>
              <w:rPr>
                <w:b w:val="false"/>
                <w:bCs w:val="false"/>
                <w:highlight w:val="yellow"/>
                <w:highlightCs w:val="yellow"/>
              </w:rPr>
              <w:t xml:space="preserve">[Nombre del producto]</w:t>
            </w:r>
          </w:p>
        </w:tc>
        <w:tc>
          <w:tcPr>
            <w:tcW w:type="dxa" w:w="1700"/>
            <w:tcMar>
              <w:top w:type="dxa" w:w="80"/>
              <w:left w:type="dxa" w:w="100"/>
              <w:bottom w:type="dxa" w:w="80"/>
              <w:right w:type="dxa" w:w="100"/>
            </w:tcMar>
          </w:tcPr>
          <w:p>
            <w:r>
              <w:rPr>
                <w:b w:val="false"/>
                <w:bCs w:val="false"/>
                <w:highlight w:val="yellow"/>
                <w:highlightCs w:val="yellow"/>
              </w:rPr>
              <w:t xml:space="preserve">[EAN]</w:t>
            </w:r>
          </w:p>
        </w:tc>
        <w:tc>
          <w:tcPr>
            <w:tcW w:type="dxa" w:w="1500"/>
            <w:tcMar>
              <w:top w:type="dxa" w:w="80"/>
              <w:left w:type="dxa" w:w="100"/>
              <w:bottom w:type="dxa" w:w="80"/>
              <w:right w:type="dxa" w:w="100"/>
            </w:tcMar>
          </w:tcPr>
          <w:p>
            <w:r>
              <w:rPr>
                <w:b w:val="false"/>
                <w:bCs w:val="false"/>
                <w:highlight w:val="yellow"/>
                <w:highlightCs w:val="yellow"/>
              </w:rPr>
              <w:t xml:space="preserve">[$ 000.000]</w:t>
            </w:r>
          </w:p>
        </w:tc>
        <w:tc>
          <w:tcPr>
            <w:tcW w:type="dxa" w:w="1226"/>
            <w:tcMar>
              <w:top w:type="dxa" w:w="80"/>
              <w:left w:type="dxa" w:w="100"/>
              <w:bottom w:type="dxa" w:w="80"/>
              <w:right w:type="dxa" w:w="100"/>
            </w:tcMar>
          </w:tcPr>
          <w:p>
            <w:r>
              <w:rPr>
                <w:b w:val="false"/>
                <w:bCs w:val="false"/>
                <w:highlight w:val="yellow"/>
                <w:highlightCs w:val="yellow"/>
              </w:rPr>
              <w:t xml:space="preserve">[dd/mm/aaaa]</w:t>
            </w:r>
          </w:p>
        </w:tc>
      </w:tr>
      <w:tr>
        <w:tc>
          <w:tcPr>
            <w:tcW w:type="dxa" w:w="1300"/>
            <w:tcMar>
              <w:top w:type="dxa" w:w="80"/>
              <w:left w:type="dxa" w:w="100"/>
              <w:bottom w:type="dxa" w:w="80"/>
              <w:right w:type="dxa" w:w="100"/>
            </w:tcMar>
          </w:tcPr>
          <w:p>
            <w:r>
              <w:rPr>
                <w:b w:val="false"/>
                <w:bCs w:val="false"/>
                <w:highlight w:val="yellow"/>
                <w:highlightCs w:val="yellow"/>
              </w:rPr>
              <w:t xml:space="preserve">[SKU]</w:t>
            </w:r>
          </w:p>
        </w:tc>
        <w:tc>
          <w:tcPr>
            <w:tcW w:type="dxa" w:w="3300"/>
            <w:tcMar>
              <w:top w:type="dxa" w:w="80"/>
              <w:left w:type="dxa" w:w="100"/>
              <w:bottom w:type="dxa" w:w="80"/>
              <w:right w:type="dxa" w:w="100"/>
            </w:tcMar>
          </w:tcPr>
          <w:p>
            <w:r>
              <w:rPr>
                <w:b w:val="false"/>
                <w:bCs w:val="false"/>
                <w:highlight w:val="yellow"/>
                <w:highlightCs w:val="yellow"/>
              </w:rPr>
              <w:t xml:space="preserve">[Nombre del producto]</w:t>
            </w:r>
          </w:p>
        </w:tc>
        <w:tc>
          <w:tcPr>
            <w:tcW w:type="dxa" w:w="1700"/>
            <w:tcMar>
              <w:top w:type="dxa" w:w="80"/>
              <w:left w:type="dxa" w:w="100"/>
              <w:bottom w:type="dxa" w:w="80"/>
              <w:right w:type="dxa" w:w="100"/>
            </w:tcMar>
          </w:tcPr>
          <w:p>
            <w:r>
              <w:rPr>
                <w:b w:val="false"/>
                <w:bCs w:val="false"/>
                <w:highlight w:val="yellow"/>
                <w:highlightCs w:val="yellow"/>
              </w:rPr>
              <w:t xml:space="preserve">[EAN]</w:t>
            </w:r>
          </w:p>
        </w:tc>
        <w:tc>
          <w:tcPr>
            <w:tcW w:type="dxa" w:w="1500"/>
            <w:tcMar>
              <w:top w:type="dxa" w:w="80"/>
              <w:left w:type="dxa" w:w="100"/>
              <w:bottom w:type="dxa" w:w="80"/>
              <w:right w:type="dxa" w:w="100"/>
            </w:tcMar>
          </w:tcPr>
          <w:p>
            <w:r>
              <w:rPr>
                <w:b w:val="false"/>
                <w:bCs w:val="false"/>
                <w:highlight w:val="yellow"/>
                <w:highlightCs w:val="yellow"/>
              </w:rPr>
              <w:t xml:space="preserve">[$ 000.000]</w:t>
            </w:r>
          </w:p>
        </w:tc>
        <w:tc>
          <w:tcPr>
            <w:tcW w:type="dxa" w:w="1226"/>
            <w:tcMar>
              <w:top w:type="dxa" w:w="80"/>
              <w:left w:type="dxa" w:w="100"/>
              <w:bottom w:type="dxa" w:w="80"/>
              <w:right w:type="dxa" w:w="100"/>
            </w:tcMar>
          </w:tcPr>
          <w:p>
            <w:r>
              <w:rPr>
                <w:b w:val="false"/>
                <w:bCs w:val="false"/>
                <w:highlight w:val="yellow"/>
                <w:highlightCs w:val="yellow"/>
              </w:rPr>
              <w:t xml:space="preserve">[dd/mm/aaaa]</w:t>
            </w:r>
          </w:p>
        </w:tc>
      </w:tr>
      <w:tr>
        <w:tc>
          <w:tcPr>
            <w:tcW w:type="dxa" w:w="1300"/>
            <w:tcMar>
              <w:top w:type="dxa" w:w="80"/>
              <w:left w:type="dxa" w:w="100"/>
              <w:bottom w:type="dxa" w:w="80"/>
              <w:right w:type="dxa" w:w="100"/>
            </w:tcMar>
          </w:tcPr>
          <w:p>
            <w:r>
              <w:rPr>
                <w:b w:val="false"/>
                <w:bCs w:val="false"/>
                <w:highlight w:val="yellow"/>
                <w:highlightCs w:val="yellow"/>
              </w:rPr>
              <w:t xml:space="preserve">[SKU]</w:t>
            </w:r>
          </w:p>
        </w:tc>
        <w:tc>
          <w:tcPr>
            <w:tcW w:type="dxa" w:w="3300"/>
            <w:tcMar>
              <w:top w:type="dxa" w:w="80"/>
              <w:left w:type="dxa" w:w="100"/>
              <w:bottom w:type="dxa" w:w="80"/>
              <w:right w:type="dxa" w:w="100"/>
            </w:tcMar>
          </w:tcPr>
          <w:p>
            <w:r>
              <w:rPr>
                <w:b w:val="false"/>
                <w:bCs w:val="false"/>
                <w:highlight w:val="yellow"/>
                <w:highlightCs w:val="yellow"/>
              </w:rPr>
              <w:t xml:space="preserve">[Nombre del producto]</w:t>
            </w:r>
          </w:p>
        </w:tc>
        <w:tc>
          <w:tcPr>
            <w:tcW w:type="dxa" w:w="1700"/>
            <w:tcMar>
              <w:top w:type="dxa" w:w="80"/>
              <w:left w:type="dxa" w:w="100"/>
              <w:bottom w:type="dxa" w:w="80"/>
              <w:right w:type="dxa" w:w="100"/>
            </w:tcMar>
          </w:tcPr>
          <w:p>
            <w:r>
              <w:rPr>
                <w:b w:val="false"/>
                <w:bCs w:val="false"/>
                <w:highlight w:val="yellow"/>
                <w:highlightCs w:val="yellow"/>
              </w:rPr>
              <w:t xml:space="preserve">[EAN]</w:t>
            </w:r>
          </w:p>
        </w:tc>
        <w:tc>
          <w:tcPr>
            <w:tcW w:type="dxa" w:w="1500"/>
            <w:tcMar>
              <w:top w:type="dxa" w:w="80"/>
              <w:left w:type="dxa" w:w="100"/>
              <w:bottom w:type="dxa" w:w="80"/>
              <w:right w:type="dxa" w:w="100"/>
            </w:tcMar>
          </w:tcPr>
          <w:p>
            <w:r>
              <w:rPr>
                <w:b w:val="false"/>
                <w:bCs w:val="false"/>
                <w:highlight w:val="yellow"/>
                <w:highlightCs w:val="yellow"/>
              </w:rPr>
              <w:t xml:space="preserve">[$ 000.000]</w:t>
            </w:r>
          </w:p>
        </w:tc>
        <w:tc>
          <w:tcPr>
            <w:tcW w:type="dxa" w:w="1226"/>
            <w:tcMar>
              <w:top w:type="dxa" w:w="80"/>
              <w:left w:type="dxa" w:w="100"/>
              <w:bottom w:type="dxa" w:w="80"/>
              <w:right w:type="dxa" w:w="100"/>
            </w:tcMar>
          </w:tcPr>
          <w:p>
            <w:r>
              <w:rPr>
                <w:b w:val="false"/>
                <w:bCs w:val="false"/>
                <w:highlight w:val="yellow"/>
                <w:highlightCs w:val="yellow"/>
              </w:rPr>
              <w:t xml:space="preserve">[dd/mm/aaaa]</w:t>
            </w:r>
          </w:p>
        </w:tc>
      </w:tr>
      <w:tr>
        <w:tc>
          <w:tcPr>
            <w:tcW w:type="dxa" w:w="1300"/>
            <w:tcMar>
              <w:top w:type="dxa" w:w="80"/>
              <w:left w:type="dxa" w:w="100"/>
              <w:bottom w:type="dxa" w:w="80"/>
              <w:right w:type="dxa" w:w="100"/>
            </w:tcMar>
          </w:tcPr>
          <w:p>
            <w:r>
              <w:rPr>
                <w:b w:val="false"/>
                <w:bCs w:val="false"/>
                <w:highlight w:val="yellow"/>
                <w:highlightCs w:val="yellow"/>
              </w:rPr>
              <w:t xml:space="preserve">[SKU]</w:t>
            </w:r>
          </w:p>
        </w:tc>
        <w:tc>
          <w:tcPr>
            <w:tcW w:type="dxa" w:w="3300"/>
            <w:tcMar>
              <w:top w:type="dxa" w:w="80"/>
              <w:left w:type="dxa" w:w="100"/>
              <w:bottom w:type="dxa" w:w="80"/>
              <w:right w:type="dxa" w:w="100"/>
            </w:tcMar>
          </w:tcPr>
          <w:p>
            <w:r>
              <w:rPr>
                <w:b w:val="false"/>
                <w:bCs w:val="false"/>
                <w:highlight w:val="yellow"/>
                <w:highlightCs w:val="yellow"/>
              </w:rPr>
              <w:t xml:space="preserve">[Nombre del producto]</w:t>
            </w:r>
          </w:p>
        </w:tc>
        <w:tc>
          <w:tcPr>
            <w:tcW w:type="dxa" w:w="1700"/>
            <w:tcMar>
              <w:top w:type="dxa" w:w="80"/>
              <w:left w:type="dxa" w:w="100"/>
              <w:bottom w:type="dxa" w:w="80"/>
              <w:right w:type="dxa" w:w="100"/>
            </w:tcMar>
          </w:tcPr>
          <w:p>
            <w:r>
              <w:rPr>
                <w:b w:val="false"/>
                <w:bCs w:val="false"/>
                <w:highlight w:val="yellow"/>
                <w:highlightCs w:val="yellow"/>
              </w:rPr>
              <w:t xml:space="preserve">[EAN]</w:t>
            </w:r>
          </w:p>
        </w:tc>
        <w:tc>
          <w:tcPr>
            <w:tcW w:type="dxa" w:w="1500"/>
            <w:tcMar>
              <w:top w:type="dxa" w:w="80"/>
              <w:left w:type="dxa" w:w="100"/>
              <w:bottom w:type="dxa" w:w="80"/>
              <w:right w:type="dxa" w:w="100"/>
            </w:tcMar>
          </w:tcPr>
          <w:p>
            <w:r>
              <w:rPr>
                <w:b w:val="false"/>
                <w:bCs w:val="false"/>
                <w:highlight w:val="yellow"/>
                <w:highlightCs w:val="yellow"/>
              </w:rPr>
              <w:t xml:space="preserve">[$ 000.000]</w:t>
            </w:r>
          </w:p>
        </w:tc>
        <w:tc>
          <w:tcPr>
            <w:tcW w:type="dxa" w:w="1226"/>
            <w:tcMar>
              <w:top w:type="dxa" w:w="80"/>
              <w:left w:type="dxa" w:w="100"/>
              <w:bottom w:type="dxa" w:w="80"/>
              <w:right w:type="dxa" w:w="100"/>
            </w:tcMar>
          </w:tcPr>
          <w:p>
            <w:r>
              <w:rPr>
                <w:b w:val="false"/>
                <w:bCs w:val="false"/>
                <w:highlight w:val="yellow"/>
                <w:highlightCs w:val="yellow"/>
              </w:rPr>
              <w:t xml:space="preserve">[dd/mm/aaaa]</w:t>
            </w:r>
          </w:p>
        </w:tc>
      </w:tr>
    </w:tbl>
    <w:p>
      <w:pPr>
        <w:spacing w:after="120"/>
      </w:pPr>
    </w:p>
    <w:p>
      <w:pPr>
        <w:pStyle w:val="Heading1"/>
        <w:spacing w:before="320" w:after="120"/>
      </w:pPr>
      <w:r>
        <w:t xml:space="preserve">Anexo B. Qué no incluir en tu política</w:t>
      </w:r>
    </w:p>
    <w:p>
      <w:pPr>
        <w:spacing w:after="120"/>
      </w:pPr>
      <w:r>
        <w:t xml:space="preserve">Estas cláusulas convierten una sugerencia en una imposición y aumentan el riesgo bajo la Ley 27.442. Si alguna te parece necesaria, consultala primero con tu abogado:</w:t>
      </w:r>
    </w:p>
    <w:p>
      <w:pPr>
        <w:pStyle w:val="ListParagraph"/>
        <w:numPr>
          <w:ilvl w:val="0"/>
          <w:numId w:val="3"/>
        </w:numPr>
        <w:spacing w:after="80"/>
      </w:pPr>
      <w:r>
        <w:t xml:space="preserve">Un precio mínimo obligatorio, o la frase "no se podrá vender por debajo de".</w:t>
      </w:r>
    </w:p>
    <w:p>
      <w:pPr>
        <w:pStyle w:val="ListParagraph"/>
        <w:numPr>
          <w:ilvl w:val="0"/>
          <w:numId w:val="3"/>
        </w:numPr>
        <w:spacing w:after="80"/>
      </w:pPr>
      <w:r>
        <w:t xml:space="preserve">Sanciones por vender o publicar debajo del precio sugerido: cortes de suministro, pérdida de descuentos, penalidades o baja de la red.</w:t>
      </w:r>
    </w:p>
    <w:p>
      <w:pPr>
        <w:pStyle w:val="ListParagraph"/>
        <w:numPr>
          <w:ilvl w:val="0"/>
          <w:numId w:val="3"/>
        </w:numPr>
        <w:spacing w:after="80"/>
      </w:pPr>
      <w:r>
        <w:t xml:space="preserve">Pedirle a un revendedor que controle, denuncie o presione a otro por su precio.</w:t>
      </w:r>
    </w:p>
    <w:p>
      <w:pPr>
        <w:pStyle w:val="ListParagraph"/>
        <w:numPr>
          <w:ilvl w:val="0"/>
          <w:numId w:val="3"/>
        </w:numPr>
        <w:spacing w:after="80"/>
      </w:pPr>
      <w:r>
        <w:t xml:space="preserve">Acordar o intercambiar con marcas competidoras listas de precios, aumentos futuros o márgenes.</w:t>
      </w:r>
    </w:p>
    <w:p>
      <w:pPr>
        <w:pStyle w:val="ListParagraph"/>
        <w:numPr>
          <w:ilvl w:val="0"/>
          <w:numId w:val="3"/>
        </w:numPr>
        <w:spacing w:after="80"/>
      </w:pPr>
      <w:r>
        <w:t xml:space="preserve">Condicionar el abastecimiento, los plazos o las bonificaciones al precio final que publique el revendedor.</w:t>
      </w:r>
    </w:p>
    <w:p>
      <w:pPr>
        <w:spacing w:after="120"/>
      </w:pPr>
    </w:p>
    <w:p>
      <w:pPr>
        <w:spacing w:after="120"/>
      </w:pPr>
      <w:r>
        <w:t xml:space="preserve">Para entender el marco legal: "¿Es legal el precio sugerido en Argentina?", en turbodato.com/blog/precio-sugerido-legal-argentina/.</w:t>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5C66"/>
        <w:sz w:val="16"/>
        <w:szCs w:val="16"/>
      </w:rPr>
      <w:t xml:space="preserve">Plantilla de Turbodato · turbodato.com · No es asesoramiento legal · Página </w:t>
    </w:r>
    <w:r>
      <w:rPr>
        <w:color w:val="5D5C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0F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b/>
      <w:bCs/>
      <w:color w:val="100F1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precio sugerido de venta al público (plantilla)</dc:title>
  <dc:creator>Turbodato</dc:creator>
  <cp:lastModifiedBy>Un-named</cp:lastModifiedBy>
  <cp:revision>1</cp:revision>
  <dcterms:created xsi:type="dcterms:W3CDTF">2026-10-17T22:48:53.245Z</dcterms:created>
  <dcterms:modified xsi:type="dcterms:W3CDTF">2026-10-17T22:48:53.246Z</dcterms:modified>
</cp:coreProperties>
</file>

<file path=docProps/custom.xml><?xml version="1.0" encoding="utf-8"?>
<Properties xmlns="http://schemas.openxmlformats.org/officeDocument/2006/custom-properties" xmlns:vt="http://schemas.openxmlformats.org/officeDocument/2006/docPropsVTypes"/>
</file>